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9D" w:rsidRPr="000D299D" w:rsidRDefault="000D299D" w:rsidP="000D299D">
      <w:pPr>
        <w:spacing w:before="100" w:beforeAutospacing="1" w:after="0" w:line="240" w:lineRule="auto"/>
        <w:outlineLvl w:val="0"/>
        <w:rPr>
          <w:rFonts w:ascii="Trebuchet MS" w:eastAsia="Times New Roman" w:hAnsi="Trebuchet MS" w:cs="Helvetica"/>
          <w:b/>
          <w:bCs/>
          <w:color w:val="444444"/>
          <w:kern w:val="36"/>
          <w:sz w:val="28"/>
          <w:szCs w:val="28"/>
        </w:rPr>
      </w:pPr>
      <w:r w:rsidRPr="000D299D">
        <w:rPr>
          <w:rFonts w:ascii="Trebuchet MS" w:eastAsia="Times New Roman" w:hAnsi="Trebuchet MS" w:cs="Helvetica"/>
          <w:b/>
          <w:bCs/>
          <w:color w:val="444444"/>
          <w:kern w:val="36"/>
          <w:sz w:val="28"/>
          <w:szCs w:val="28"/>
        </w:rPr>
        <w:t>2011 National Survey on Speeding Attitudes and Behaviors (NSSAB) </w:t>
      </w:r>
    </w:p>
    <w:p w:rsidR="000D299D" w:rsidRPr="000D299D" w:rsidRDefault="000D299D" w:rsidP="000D299D">
      <w:pPr>
        <w:spacing w:after="0" w:line="0" w:lineRule="auto"/>
        <w:rPr>
          <w:rFonts w:ascii="Trebuchet MS" w:eastAsia="Times New Roman" w:hAnsi="Trebuchet MS" w:cs="Helvetica"/>
          <w:color w:val="444444"/>
          <w:sz w:val="2"/>
          <w:szCs w:val="2"/>
        </w:rPr>
      </w:pPr>
      <w:r w:rsidRPr="000D299D">
        <w:rPr>
          <w:rFonts w:ascii="Trebuchet MS" w:eastAsia="Times New Roman" w:hAnsi="Trebuchet MS" w:cs="Helvetica"/>
          <w:color w:val="444444"/>
          <w:sz w:val="2"/>
          <w:szCs w:val="2"/>
        </w:rPr>
        <w:t> </w:t>
      </w:r>
    </w:p>
    <w:p w:rsidR="00713423" w:rsidRDefault="00713423" w:rsidP="0071342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713423" w:rsidRDefault="00713423" w:rsidP="0071342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713423" w:rsidRPr="00713423" w:rsidRDefault="00713423" w:rsidP="00713423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Helvetica"/>
          <w:color w:val="444444"/>
          <w:sz w:val="18"/>
          <w:szCs w:val="18"/>
        </w:rPr>
      </w:pPr>
      <w:r w:rsidRPr="00713423">
        <w:rPr>
          <w:rFonts w:ascii="Trebuchet MS" w:hAnsi="Trebuchet MS" w:cs="TimesNewRomanPSMT"/>
          <w:sz w:val="18"/>
          <w:szCs w:val="18"/>
        </w:rPr>
        <w:t>For the 2011</w:t>
      </w:r>
      <w:r w:rsidR="00B235E7">
        <w:rPr>
          <w:rFonts w:ascii="Trebuchet MS" w:hAnsi="Trebuchet MS" w:cs="TimesNewRomanPSMT"/>
          <w:sz w:val="18"/>
          <w:szCs w:val="18"/>
        </w:rPr>
        <w:t xml:space="preserve"> </w:t>
      </w:r>
      <w:r>
        <w:rPr>
          <w:rFonts w:ascii="Trebuchet MS" w:hAnsi="Trebuchet MS" w:cs="TimesNewRomanPSMT"/>
          <w:sz w:val="18"/>
          <w:szCs w:val="18"/>
        </w:rPr>
        <w:t xml:space="preserve">NSSAB </w:t>
      </w:r>
      <w:r w:rsidRPr="00713423">
        <w:rPr>
          <w:rFonts w:ascii="Trebuchet MS" w:hAnsi="Trebuchet MS" w:cs="TimesNewRomanPSMT"/>
          <w:sz w:val="18"/>
          <w:szCs w:val="18"/>
        </w:rPr>
        <w:t>survey, data</w:t>
      </w:r>
      <w:r>
        <w:rPr>
          <w:rFonts w:ascii="Trebuchet MS" w:hAnsi="Trebuchet MS" w:cs="TimesNewRomanPSMT"/>
          <w:sz w:val="18"/>
          <w:szCs w:val="18"/>
        </w:rPr>
        <w:t xml:space="preserve"> </w:t>
      </w:r>
      <w:r w:rsidRPr="00713423">
        <w:rPr>
          <w:rFonts w:ascii="Trebuchet MS" w:hAnsi="Trebuchet MS" w:cs="TimesNewRomanPSMT"/>
          <w:sz w:val="18"/>
          <w:szCs w:val="18"/>
        </w:rPr>
        <w:t xml:space="preserve">were collected via telephone interviews with 6,144 </w:t>
      </w:r>
      <w:r>
        <w:rPr>
          <w:rFonts w:ascii="Trebuchet MS" w:hAnsi="Trebuchet MS" w:cs="TimesNewRomanPSMT"/>
          <w:sz w:val="18"/>
          <w:szCs w:val="18"/>
        </w:rPr>
        <w:t xml:space="preserve">randomly selected </w:t>
      </w:r>
      <w:r w:rsidRPr="00713423">
        <w:rPr>
          <w:rFonts w:ascii="Trebuchet MS" w:hAnsi="Trebuchet MS" w:cs="TimesNewRomanPSMT"/>
          <w:sz w:val="18"/>
          <w:szCs w:val="18"/>
        </w:rPr>
        <w:t>U.S. households. To account for the trend</w:t>
      </w:r>
      <w:r>
        <w:rPr>
          <w:rFonts w:ascii="Trebuchet MS" w:hAnsi="Trebuchet MS" w:cs="TimesNewRomanPSMT"/>
          <w:sz w:val="18"/>
          <w:szCs w:val="18"/>
        </w:rPr>
        <w:t xml:space="preserve"> </w:t>
      </w:r>
      <w:r w:rsidRPr="00713423">
        <w:rPr>
          <w:rFonts w:ascii="Trebuchet MS" w:hAnsi="Trebuchet MS" w:cs="TimesNewRomanPSMT"/>
          <w:sz w:val="18"/>
          <w:szCs w:val="18"/>
        </w:rPr>
        <w:t>toward cell phones as a replacement for landline telephones, the survey employed an overlapping</w:t>
      </w:r>
      <w:r>
        <w:rPr>
          <w:rFonts w:ascii="Trebuchet MS" w:hAnsi="Trebuchet MS" w:cs="TimesNewRomanPSMT"/>
          <w:sz w:val="18"/>
          <w:szCs w:val="18"/>
        </w:rPr>
        <w:t xml:space="preserve"> </w:t>
      </w:r>
      <w:r w:rsidRPr="00713423">
        <w:rPr>
          <w:rFonts w:ascii="Trebuchet MS" w:hAnsi="Trebuchet MS" w:cs="TimesNewRomanPSMT"/>
          <w:sz w:val="18"/>
          <w:szCs w:val="18"/>
        </w:rPr>
        <w:t>dual-frame sample design and contacted people living in households with landline telephones</w:t>
      </w:r>
      <w:r>
        <w:rPr>
          <w:rFonts w:ascii="Trebuchet MS" w:hAnsi="Trebuchet MS" w:cs="TimesNewRomanPSMT"/>
          <w:sz w:val="18"/>
          <w:szCs w:val="18"/>
        </w:rPr>
        <w:t xml:space="preserve"> </w:t>
      </w:r>
      <w:r w:rsidRPr="00713423">
        <w:rPr>
          <w:rFonts w:ascii="Trebuchet MS" w:hAnsi="Trebuchet MS" w:cs="TimesNewRomanPSMT"/>
          <w:sz w:val="18"/>
          <w:szCs w:val="18"/>
        </w:rPr>
        <w:t>and households that relied only or mostly on cell phones. Because young drivers are a high-risk</w:t>
      </w:r>
      <w:r>
        <w:rPr>
          <w:rFonts w:ascii="Trebuchet MS" w:hAnsi="Trebuchet MS" w:cs="TimesNewRomanPSMT"/>
          <w:sz w:val="18"/>
          <w:szCs w:val="18"/>
        </w:rPr>
        <w:t xml:space="preserve"> </w:t>
      </w:r>
      <w:r w:rsidRPr="00713423">
        <w:rPr>
          <w:rFonts w:ascii="Trebuchet MS" w:hAnsi="Trebuchet MS" w:cs="TimesNewRomanPSMT"/>
          <w:sz w:val="18"/>
          <w:szCs w:val="18"/>
        </w:rPr>
        <w:t>group of particular interest, the survey included an oversample of respondents 16 to 34 years old</w:t>
      </w:r>
      <w:r>
        <w:rPr>
          <w:rFonts w:ascii="Trebuchet MS" w:hAnsi="Trebuchet MS" w:cs="TimesNewRomanPSMT"/>
          <w:sz w:val="18"/>
          <w:szCs w:val="18"/>
        </w:rPr>
        <w:t xml:space="preserve"> </w:t>
      </w:r>
      <w:r w:rsidRPr="00713423">
        <w:rPr>
          <w:rFonts w:ascii="Trebuchet MS" w:hAnsi="Trebuchet MS" w:cs="TimesNewRomanPSMT"/>
          <w:sz w:val="18"/>
          <w:szCs w:val="18"/>
        </w:rPr>
        <w:t>so that national estimates could be obtained. Interviews were conducted from March 31, 2011, to</w:t>
      </w:r>
      <w:r>
        <w:rPr>
          <w:rFonts w:ascii="Trebuchet MS" w:hAnsi="Trebuchet MS" w:cs="TimesNewRomanPSMT"/>
          <w:sz w:val="18"/>
          <w:szCs w:val="18"/>
        </w:rPr>
        <w:t xml:space="preserve"> </w:t>
      </w:r>
      <w:r w:rsidRPr="00713423">
        <w:rPr>
          <w:rFonts w:ascii="Trebuchet MS" w:hAnsi="Trebuchet MS" w:cs="TimesNewRomanPSMT"/>
          <w:sz w:val="18"/>
          <w:szCs w:val="18"/>
        </w:rPr>
        <w:t>September 4, 2011.</w:t>
      </w:r>
    </w:p>
    <w:p w:rsidR="000D299D" w:rsidRPr="000D299D" w:rsidRDefault="000D299D" w:rsidP="000D299D">
      <w:pPr>
        <w:spacing w:before="100" w:beforeAutospacing="1" w:after="240" w:line="240" w:lineRule="auto"/>
        <w:rPr>
          <w:rFonts w:ascii="Trebuchet MS" w:eastAsia="Times New Roman" w:hAnsi="Trebuchet MS" w:cs="Helvetica"/>
          <w:color w:val="444444"/>
          <w:sz w:val="18"/>
          <w:szCs w:val="18"/>
        </w:rPr>
      </w:pPr>
      <w:r w:rsidRPr="000D299D">
        <w:rPr>
          <w:rFonts w:ascii="Trebuchet MS" w:eastAsia="Times New Roman" w:hAnsi="Trebuchet MS" w:cs="Helvetica"/>
          <w:color w:val="444444"/>
          <w:sz w:val="18"/>
          <w:szCs w:val="18"/>
        </w:rPr>
        <w:t xml:space="preserve">The database </w:t>
      </w:r>
      <w:r>
        <w:rPr>
          <w:rFonts w:ascii="Trebuchet MS" w:eastAsia="Times New Roman" w:hAnsi="Trebuchet MS" w:cs="Helvetica"/>
          <w:color w:val="444444"/>
          <w:sz w:val="18"/>
          <w:szCs w:val="18"/>
        </w:rPr>
        <w:t>is</w:t>
      </w:r>
      <w:r w:rsidRPr="000D299D">
        <w:rPr>
          <w:rFonts w:ascii="Trebuchet MS" w:eastAsia="Times New Roman" w:hAnsi="Trebuchet MS" w:cs="Helvetica"/>
          <w:color w:val="444444"/>
          <w:sz w:val="18"/>
          <w:szCs w:val="18"/>
        </w:rPr>
        <w:t xml:space="preserve"> provided in two formats: Statistical Package for the Social Sciences (</w:t>
      </w:r>
      <w:r w:rsidRPr="000D299D">
        <w:rPr>
          <w:rFonts w:ascii="Trebuchet MS" w:eastAsia="Times New Roman" w:hAnsi="Trebuchet MS" w:cs="Helvetica"/>
          <w:b/>
          <w:bCs/>
          <w:color w:val="444444"/>
          <w:sz w:val="18"/>
          <w:szCs w:val="18"/>
        </w:rPr>
        <w:t>SPSS</w:t>
      </w:r>
      <w:r w:rsidRPr="000D299D">
        <w:rPr>
          <w:rFonts w:ascii="Trebuchet MS" w:eastAsia="Times New Roman" w:hAnsi="Trebuchet MS" w:cs="Helvetica"/>
          <w:color w:val="444444"/>
          <w:sz w:val="18"/>
          <w:szCs w:val="18"/>
        </w:rPr>
        <w:t xml:space="preserve">) and </w:t>
      </w:r>
      <w:r w:rsidR="006D58F7">
        <w:rPr>
          <w:rFonts w:ascii="Trebuchet MS" w:eastAsia="Times New Roman" w:hAnsi="Trebuchet MS" w:cs="Helvetica"/>
          <w:color w:val="444444"/>
          <w:sz w:val="18"/>
          <w:szCs w:val="18"/>
        </w:rPr>
        <w:t xml:space="preserve">an </w:t>
      </w:r>
      <w:r>
        <w:rPr>
          <w:rFonts w:ascii="Trebuchet MS" w:eastAsia="Times New Roman" w:hAnsi="Trebuchet MS" w:cs="Helvetica"/>
          <w:color w:val="444444"/>
          <w:sz w:val="18"/>
          <w:szCs w:val="18"/>
        </w:rPr>
        <w:t>Excel</w:t>
      </w:r>
      <w:r w:rsidRPr="000D299D">
        <w:rPr>
          <w:rFonts w:ascii="Trebuchet MS" w:eastAsia="Times New Roman" w:hAnsi="Trebuchet MS" w:cs="Helvetica"/>
          <w:color w:val="444444"/>
          <w:sz w:val="18"/>
          <w:szCs w:val="18"/>
        </w:rPr>
        <w:t xml:space="preserve"> format</w:t>
      </w:r>
      <w:r w:rsidR="006D58F7">
        <w:rPr>
          <w:rFonts w:ascii="Trebuchet MS" w:eastAsia="Times New Roman" w:hAnsi="Trebuchet MS" w:cs="Helvetica"/>
          <w:color w:val="444444"/>
          <w:sz w:val="18"/>
          <w:szCs w:val="18"/>
        </w:rPr>
        <w:t xml:space="preserve"> that can be easily imported into other statistical packages.</w:t>
      </w:r>
    </w:p>
    <w:tbl>
      <w:tblPr>
        <w:tblW w:w="375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21"/>
        <w:gridCol w:w="2076"/>
        <w:gridCol w:w="2358"/>
      </w:tblGrid>
      <w:tr w:rsidR="000D299D" w:rsidRPr="000D299D" w:rsidTr="009472E9">
        <w:trPr>
          <w:trHeight w:val="613"/>
          <w:tblCellSpacing w:w="0" w:type="dxa"/>
          <w:jc w:val="center"/>
        </w:trPr>
        <w:tc>
          <w:tcPr>
            <w:tcW w:w="1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99D" w:rsidRPr="000D299D" w:rsidRDefault="000D299D" w:rsidP="000D299D">
            <w:pPr>
              <w:spacing w:after="0" w:line="240" w:lineRule="auto"/>
              <w:rPr>
                <w:rFonts w:ascii="Trebuchet MS" w:eastAsia="Times New Roman" w:hAnsi="Trebuchet MS" w:cs="Helvetica"/>
                <w:color w:val="444444"/>
                <w:sz w:val="18"/>
                <w:szCs w:val="18"/>
              </w:rPr>
            </w:pPr>
            <w:r w:rsidRPr="000D299D">
              <w:rPr>
                <w:rFonts w:ascii="Trebuchet MS" w:eastAsia="Times New Roman" w:hAnsi="Trebuchet MS" w:cs="Helvetica"/>
                <w:color w:val="444444"/>
                <w:sz w:val="18"/>
                <w:szCs w:val="18"/>
              </w:rPr>
              <w:t>Questionnaire</w:t>
            </w:r>
          </w:p>
        </w:tc>
        <w:tc>
          <w:tcPr>
            <w:tcW w:w="1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99D" w:rsidRPr="000D299D" w:rsidRDefault="000D299D" w:rsidP="000D299D">
            <w:pPr>
              <w:spacing w:after="0" w:line="240" w:lineRule="auto"/>
              <w:jc w:val="center"/>
              <w:rPr>
                <w:rFonts w:ascii="Trebuchet MS" w:eastAsia="Times New Roman" w:hAnsi="Trebuchet MS" w:cs="Helvetica"/>
                <w:color w:val="444444"/>
                <w:sz w:val="18"/>
                <w:szCs w:val="18"/>
              </w:rPr>
            </w:pPr>
            <w:r w:rsidRPr="000D299D">
              <w:rPr>
                <w:rFonts w:ascii="Trebuchet MS" w:eastAsia="Times New Roman" w:hAnsi="Trebuchet MS" w:cs="Helvetica"/>
                <w:b/>
                <w:bCs/>
                <w:color w:val="444444"/>
                <w:sz w:val="18"/>
                <w:szCs w:val="18"/>
              </w:rPr>
              <w:t>SPSS</w:t>
            </w:r>
            <w:r w:rsidRPr="000D299D">
              <w:rPr>
                <w:rFonts w:ascii="Trebuchet MS" w:eastAsia="Times New Roman" w:hAnsi="Trebuchet MS" w:cs="Helvetica"/>
                <w:b/>
                <w:bCs/>
                <w:color w:val="444444"/>
                <w:sz w:val="18"/>
                <w:szCs w:val="18"/>
              </w:rPr>
              <w:br/>
              <w:t>database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0D299D" w:rsidRDefault="000D299D" w:rsidP="000D299D">
            <w:pPr>
              <w:spacing w:after="0" w:line="240" w:lineRule="auto"/>
              <w:jc w:val="center"/>
              <w:rPr>
                <w:rFonts w:ascii="Trebuchet MS" w:eastAsia="Times New Roman" w:hAnsi="Trebuchet MS" w:cs="Helvetica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rebuchet MS" w:eastAsia="Times New Roman" w:hAnsi="Trebuchet MS" w:cs="Helvetica"/>
                <w:b/>
                <w:bCs/>
                <w:color w:val="444444"/>
                <w:sz w:val="18"/>
                <w:szCs w:val="18"/>
              </w:rPr>
              <w:t>Excel file</w:t>
            </w:r>
          </w:p>
          <w:p w:rsidR="000D299D" w:rsidRPr="000D299D" w:rsidRDefault="000D299D" w:rsidP="000D299D">
            <w:pPr>
              <w:spacing w:after="0" w:line="240" w:lineRule="auto"/>
              <w:jc w:val="center"/>
              <w:rPr>
                <w:rFonts w:ascii="Trebuchet MS" w:eastAsia="Times New Roman" w:hAnsi="Trebuchet MS" w:cs="Helvetica"/>
                <w:color w:val="444444"/>
                <w:sz w:val="18"/>
                <w:szCs w:val="18"/>
              </w:rPr>
            </w:pPr>
            <w:r w:rsidRPr="000D299D">
              <w:rPr>
                <w:rFonts w:ascii="Trebuchet MS" w:eastAsia="Times New Roman" w:hAnsi="Trebuchet MS" w:cs="Helvetica"/>
                <w:b/>
                <w:bCs/>
                <w:color w:val="444444"/>
                <w:sz w:val="18"/>
                <w:szCs w:val="18"/>
              </w:rPr>
              <w:t xml:space="preserve"> database</w:t>
            </w:r>
          </w:p>
        </w:tc>
      </w:tr>
      <w:tr w:rsidR="000D299D" w:rsidRPr="000D299D" w:rsidTr="005C5AB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99D" w:rsidRPr="000D299D" w:rsidRDefault="000D299D" w:rsidP="000D299D">
            <w:pPr>
              <w:spacing w:after="0" w:line="240" w:lineRule="auto"/>
              <w:rPr>
                <w:rFonts w:ascii="Trebuchet MS" w:eastAsia="Times New Roman" w:hAnsi="Trebuchet MS" w:cs="Helvetica"/>
                <w:color w:val="444444"/>
                <w:sz w:val="18"/>
                <w:szCs w:val="18"/>
              </w:rPr>
            </w:pPr>
            <w:r>
              <w:rPr>
                <w:rFonts w:ascii="Trebuchet MS" w:eastAsia="Times New Roman" w:hAnsi="Trebuchet MS" w:cs="Helvetica"/>
                <w:color w:val="444444"/>
                <w:sz w:val="18"/>
                <w:szCs w:val="18"/>
              </w:rPr>
              <w:t>2011 National Survey of Speeding Attitudes and Behaviors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99D" w:rsidRPr="000D299D" w:rsidRDefault="000D299D" w:rsidP="000D299D">
            <w:pPr>
              <w:spacing w:after="0" w:line="240" w:lineRule="auto"/>
              <w:jc w:val="center"/>
              <w:rPr>
                <w:rFonts w:ascii="Trebuchet MS" w:eastAsia="Times New Roman" w:hAnsi="Trebuchet MS" w:cs="Helvetica"/>
                <w:color w:val="444444"/>
                <w:sz w:val="18"/>
                <w:szCs w:val="18"/>
              </w:rPr>
            </w:pPr>
            <w:r w:rsidRPr="000D299D">
              <w:rPr>
                <w:rFonts w:ascii="Trebuchet MS" w:eastAsia="Times New Roman" w:hAnsi="Trebuchet MS" w:cs="Helvetica"/>
                <w:noProof/>
                <w:color w:val="007DC2"/>
                <w:sz w:val="18"/>
                <w:szCs w:val="18"/>
              </w:rPr>
              <w:drawing>
                <wp:inline distT="0" distB="0" distL="0" distR="0" wp14:anchorId="008FE2A1" wp14:editId="2AF5F8E8">
                  <wp:extent cx="126365" cy="126365"/>
                  <wp:effectExtent l="0" t="0" r="6985" b="6985"/>
                  <wp:docPr id="1" name="Picture 1" descr="SPSS database (version 2)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PSS database (version 2)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299D" w:rsidRPr="000D299D" w:rsidRDefault="000D299D" w:rsidP="000D299D">
            <w:pPr>
              <w:spacing w:after="0" w:line="240" w:lineRule="auto"/>
              <w:jc w:val="center"/>
              <w:rPr>
                <w:rFonts w:ascii="Trebuchet MS" w:eastAsia="Times New Roman" w:hAnsi="Trebuchet MS" w:cs="Helvetica"/>
                <w:color w:val="444444"/>
                <w:sz w:val="18"/>
                <w:szCs w:val="18"/>
              </w:rPr>
            </w:pPr>
            <w:r w:rsidRPr="000D299D">
              <w:rPr>
                <w:rFonts w:ascii="Trebuchet MS" w:eastAsia="Times New Roman" w:hAnsi="Trebuchet MS" w:cs="Helvetica"/>
                <w:noProof/>
                <w:color w:val="007DC2"/>
                <w:sz w:val="18"/>
                <w:szCs w:val="18"/>
              </w:rPr>
              <w:drawing>
                <wp:inline distT="0" distB="0" distL="0" distR="0" wp14:anchorId="395A9B86" wp14:editId="640D2E58">
                  <wp:extent cx="126365" cy="126365"/>
                  <wp:effectExtent l="0" t="0" r="6985" b="6985"/>
                  <wp:docPr id="2" name="Picture 2" descr="SAS Data (version 1)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AS Data (version 1)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299D" w:rsidRPr="000D299D" w:rsidRDefault="000D299D" w:rsidP="000D299D">
      <w:pPr>
        <w:spacing w:before="100" w:beforeAutospacing="1" w:after="240" w:line="240" w:lineRule="auto"/>
        <w:rPr>
          <w:rFonts w:ascii="Trebuchet MS" w:eastAsia="Times New Roman" w:hAnsi="Trebuchet MS" w:cs="Helvetica"/>
          <w:color w:val="444444"/>
          <w:sz w:val="18"/>
          <w:szCs w:val="18"/>
        </w:rPr>
      </w:pPr>
      <w:r w:rsidRPr="000D299D">
        <w:rPr>
          <w:rFonts w:ascii="Trebuchet MS" w:eastAsia="Times New Roman" w:hAnsi="Trebuchet MS" w:cs="Helvetica"/>
          <w:color w:val="444444"/>
          <w:sz w:val="18"/>
          <w:szCs w:val="18"/>
        </w:rPr>
        <w:t>For those database users who chose not to develop their own weights when working with the data, a weighting variable is provided for application. Its construction is described in the following report:</w:t>
      </w:r>
    </w:p>
    <w:p w:rsidR="0008510D" w:rsidRDefault="000D299D" w:rsidP="000D299D">
      <w:pPr>
        <w:spacing w:before="100" w:beforeAutospacing="1" w:after="240" w:line="240" w:lineRule="auto"/>
        <w:rPr>
          <w:rFonts w:ascii="Trebuchet MS" w:eastAsia="Times New Roman" w:hAnsi="Trebuchet MS" w:cs="Helvetica"/>
          <w:b/>
          <w:bCs/>
          <w:color w:val="444444"/>
          <w:kern w:val="36"/>
          <w:sz w:val="18"/>
          <w:szCs w:val="18"/>
        </w:rPr>
      </w:pPr>
      <w:r w:rsidRPr="000D299D">
        <w:rPr>
          <w:rFonts w:ascii="Trebuchet MS" w:eastAsia="Times New Roman" w:hAnsi="Trebuchet MS" w:cs="Helvetica"/>
          <w:b/>
          <w:bCs/>
          <w:color w:val="444444"/>
          <w:kern w:val="36"/>
          <w:sz w:val="18"/>
          <w:szCs w:val="18"/>
        </w:rPr>
        <w:t>2011 National Survey on Speeding Attitudes and Behaviors</w:t>
      </w:r>
    </w:p>
    <w:p w:rsidR="000D299D" w:rsidRDefault="000D299D" w:rsidP="000D299D">
      <w:pPr>
        <w:spacing w:before="100" w:beforeAutospacing="1" w:after="240" w:line="240" w:lineRule="auto"/>
        <w:rPr>
          <w:rFonts w:ascii="Trebuchet MS" w:eastAsia="Times New Roman" w:hAnsi="Trebuchet MS" w:cs="Helvetica"/>
          <w:color w:val="444444"/>
          <w:sz w:val="18"/>
          <w:szCs w:val="18"/>
        </w:rPr>
      </w:pPr>
      <w:hyperlink r:id="rId9" w:history="1">
        <w:r w:rsidRPr="000A279E">
          <w:rPr>
            <w:rStyle w:val="Hyperlink"/>
            <w:rFonts w:ascii="Trebuchet MS" w:eastAsia="Times New Roman" w:hAnsi="Trebuchet MS" w:cs="Helvetica"/>
            <w:sz w:val="18"/>
            <w:szCs w:val="18"/>
          </w:rPr>
          <w:t>http://www.nhtsa.gov/staticfiles/nti/pdf/2011_N_Survey_of_Speeding_Attitudes_and_Behaviors_811865</w:t>
        </w:r>
      </w:hyperlink>
      <w:r w:rsidRPr="000D299D">
        <w:rPr>
          <w:rFonts w:ascii="Trebuchet MS" w:eastAsia="Times New Roman" w:hAnsi="Trebuchet MS" w:cs="Helvetica"/>
          <w:color w:val="444444"/>
          <w:sz w:val="18"/>
          <w:szCs w:val="18"/>
        </w:rPr>
        <w:t>.</w:t>
      </w:r>
    </w:p>
    <w:p w:rsidR="000D299D" w:rsidRPr="000D299D" w:rsidRDefault="000D299D" w:rsidP="000D299D">
      <w:pPr>
        <w:spacing w:before="100" w:beforeAutospacing="1" w:after="240" w:line="240" w:lineRule="auto"/>
        <w:rPr>
          <w:rFonts w:ascii="Trebuchet MS" w:eastAsia="Times New Roman" w:hAnsi="Trebuchet MS" w:cs="Helvetica"/>
          <w:color w:val="444444"/>
          <w:sz w:val="18"/>
          <w:szCs w:val="18"/>
        </w:rPr>
      </w:pPr>
      <w:r w:rsidRPr="000D299D">
        <w:rPr>
          <w:rFonts w:ascii="Trebuchet MS" w:eastAsia="Times New Roman" w:hAnsi="Trebuchet MS" w:cs="Helvetica"/>
          <w:color w:val="444444"/>
          <w:sz w:val="18"/>
          <w:szCs w:val="18"/>
        </w:rPr>
        <w:t>In addition to the data files, the following files are provided:</w:t>
      </w:r>
    </w:p>
    <w:p w:rsidR="006D58F7" w:rsidRDefault="008F23D2" w:rsidP="000D299D">
      <w:pPr>
        <w:numPr>
          <w:ilvl w:val="0"/>
          <w:numId w:val="4"/>
        </w:numPr>
        <w:spacing w:after="120" w:line="240" w:lineRule="auto"/>
        <w:ind w:left="75"/>
        <w:rPr>
          <w:rFonts w:ascii="Trebuchet MS" w:eastAsia="Times New Roman" w:hAnsi="Trebuchet MS" w:cs="Helvetica"/>
          <w:color w:val="444444"/>
          <w:sz w:val="18"/>
          <w:szCs w:val="18"/>
        </w:rPr>
      </w:pPr>
      <w:r>
        <w:rPr>
          <w:rFonts w:ascii="Trebuchet MS" w:eastAsia="Times New Roman" w:hAnsi="Trebuchet MS" w:cs="Helvetica"/>
          <w:color w:val="444444"/>
          <w:sz w:val="18"/>
          <w:szCs w:val="18"/>
        </w:rPr>
        <w:t xml:space="preserve">2011 </w:t>
      </w:r>
      <w:r w:rsidR="006D58F7" w:rsidRPr="006D58F7">
        <w:rPr>
          <w:rFonts w:ascii="Trebuchet MS" w:eastAsia="Times New Roman" w:hAnsi="Trebuchet MS" w:cs="Helvetica"/>
          <w:color w:val="444444"/>
          <w:sz w:val="18"/>
          <w:szCs w:val="18"/>
        </w:rPr>
        <w:t>NSSAB Questionnaire</w:t>
      </w:r>
      <w:r w:rsidR="00546829">
        <w:rPr>
          <w:rFonts w:ascii="Trebuchet MS" w:eastAsia="Times New Roman" w:hAnsi="Trebuchet MS" w:cs="Helvetica"/>
          <w:color w:val="444444"/>
          <w:sz w:val="18"/>
          <w:szCs w:val="18"/>
        </w:rPr>
        <w:t xml:space="preserve"> (</w:t>
      </w:r>
      <w:r w:rsidR="00546829" w:rsidRPr="00546829">
        <w:rPr>
          <w:rFonts w:ascii="Trebuchet MS" w:eastAsia="Times New Roman" w:hAnsi="Trebuchet MS" w:cs="Helvetica"/>
          <w:color w:val="444444"/>
          <w:sz w:val="18"/>
          <w:szCs w:val="18"/>
          <w:highlight w:val="yellow"/>
        </w:rPr>
        <w:t>create link to document</w:t>
      </w:r>
      <w:r w:rsidR="00546829">
        <w:rPr>
          <w:rFonts w:ascii="Trebuchet MS" w:eastAsia="Times New Roman" w:hAnsi="Trebuchet MS" w:cs="Helvetica"/>
          <w:color w:val="444444"/>
          <w:sz w:val="18"/>
          <w:szCs w:val="18"/>
        </w:rPr>
        <w:t>)</w:t>
      </w:r>
    </w:p>
    <w:p w:rsidR="00B83F88" w:rsidRDefault="006D58F7" w:rsidP="006D58F7">
      <w:pPr>
        <w:numPr>
          <w:ilvl w:val="0"/>
          <w:numId w:val="4"/>
        </w:numPr>
        <w:spacing w:after="120" w:line="240" w:lineRule="auto"/>
        <w:ind w:left="75"/>
      </w:pPr>
      <w:r w:rsidRPr="006D58F7">
        <w:rPr>
          <w:rFonts w:ascii="Trebuchet MS" w:eastAsia="Times New Roman" w:hAnsi="Trebuchet MS" w:cs="Helvetica"/>
          <w:color w:val="444444"/>
          <w:sz w:val="18"/>
          <w:szCs w:val="18"/>
        </w:rPr>
        <w:t>Topic and Qu</w:t>
      </w:r>
      <w:bookmarkStart w:id="0" w:name="_GoBack"/>
      <w:bookmarkEnd w:id="0"/>
      <w:r w:rsidRPr="006D58F7">
        <w:rPr>
          <w:rFonts w:ascii="Trebuchet MS" w:eastAsia="Times New Roman" w:hAnsi="Trebuchet MS" w:cs="Helvetica"/>
          <w:color w:val="444444"/>
          <w:sz w:val="18"/>
          <w:szCs w:val="18"/>
        </w:rPr>
        <w:t xml:space="preserve">estion Outline </w:t>
      </w:r>
      <w:r w:rsidR="00546829">
        <w:rPr>
          <w:rFonts w:ascii="Trebuchet MS" w:eastAsia="Times New Roman" w:hAnsi="Trebuchet MS" w:cs="Helvetica"/>
          <w:color w:val="444444"/>
          <w:sz w:val="18"/>
          <w:szCs w:val="18"/>
        </w:rPr>
        <w:t>(</w:t>
      </w:r>
      <w:r w:rsidR="00546829" w:rsidRPr="00546829">
        <w:rPr>
          <w:rFonts w:ascii="Trebuchet MS" w:eastAsia="Times New Roman" w:hAnsi="Trebuchet MS" w:cs="Helvetica"/>
          <w:color w:val="444444"/>
          <w:sz w:val="18"/>
          <w:szCs w:val="18"/>
          <w:highlight w:val="yellow"/>
        </w:rPr>
        <w:t>create link to document</w:t>
      </w:r>
      <w:r w:rsidR="00546829">
        <w:rPr>
          <w:rFonts w:ascii="Trebuchet MS" w:eastAsia="Times New Roman" w:hAnsi="Trebuchet MS" w:cs="Helvetica"/>
          <w:color w:val="444444"/>
          <w:sz w:val="18"/>
          <w:szCs w:val="18"/>
        </w:rPr>
        <w:t>)</w:t>
      </w:r>
    </w:p>
    <w:sectPr w:rsidR="00B83F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41C28"/>
    <w:multiLevelType w:val="multilevel"/>
    <w:tmpl w:val="AE3EF4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3F24EA"/>
    <w:multiLevelType w:val="multilevel"/>
    <w:tmpl w:val="BE64B8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4B107F"/>
    <w:multiLevelType w:val="multilevel"/>
    <w:tmpl w:val="32B0EE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6B0F8A"/>
    <w:multiLevelType w:val="multilevel"/>
    <w:tmpl w:val="A11891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99D"/>
    <w:rsid w:val="0008510D"/>
    <w:rsid w:val="000D299D"/>
    <w:rsid w:val="00546829"/>
    <w:rsid w:val="006D58F7"/>
    <w:rsid w:val="00713423"/>
    <w:rsid w:val="008F23D2"/>
    <w:rsid w:val="00AD0A41"/>
    <w:rsid w:val="00B235E7"/>
    <w:rsid w:val="00DD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2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9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D29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2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9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D29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0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9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82930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94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37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169763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8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1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1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420856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2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045645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67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33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htsa.gov/Driving-Safety/Research-&amp;-Evaluation/2007-Motor-Vehicle-Occupant-Safety-Survey-(MVOSS)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htsa.gov/DOT/NHTSA/Traffic%20Injury%20Control/Articles/2007MVOSS/2007MVOSS_SPSS_Version__A.sav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htsa.gov/staticfiles/nti/pdf/2011_N_Survey_of_Speeding_Attitudes_and_Behaviors_8118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USDOT_User</dc:creator>
  <cp:lastModifiedBy>USDOT_User</cp:lastModifiedBy>
  <cp:revision>3</cp:revision>
  <dcterms:created xsi:type="dcterms:W3CDTF">2016-11-23T16:33:00Z</dcterms:created>
  <dcterms:modified xsi:type="dcterms:W3CDTF">2016-11-23T16:39:00Z</dcterms:modified>
</cp:coreProperties>
</file>